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609" w:type="dxa"/>
        <w:tblLayout w:type="fixed"/>
        <w:tblLook w:val="0000" w:firstRow="0" w:lastRow="0" w:firstColumn="0" w:lastColumn="0" w:noHBand="0" w:noVBand="0"/>
      </w:tblPr>
      <w:tblGrid>
        <w:gridCol w:w="4785"/>
        <w:gridCol w:w="3641"/>
      </w:tblGrid>
      <w:tr w:rsidR="00000000">
        <w:tc>
          <w:tcPr>
            <w:tcW w:w="47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7433">
            <w:pPr>
              <w:keepNext/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2pt;height:79.2pt" filled="t">
                  <v:fill color2="black"/>
                  <v:imagedata r:id="rId6" o:title=""/>
                </v:shape>
              </w:pict>
            </w:r>
          </w:p>
        </w:tc>
        <w:tc>
          <w:tcPr>
            <w:tcW w:w="36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7433">
            <w:pPr>
              <w:keepNext/>
              <w:snapToGrid w:val="0"/>
              <w:jc w:val="right"/>
            </w:pPr>
            <w:r>
              <w:pict>
                <v:shape id="_x0000_i1026" type="#_x0000_t75" style="width:158.4pt;height:86.4pt" filled="t">
                  <v:fill color2="black"/>
                  <v:imagedata r:id="rId7" o:title=""/>
                </v:shape>
              </w:pict>
            </w:r>
          </w:p>
        </w:tc>
      </w:tr>
    </w:tbl>
    <w:p w:rsidR="00000000" w:rsidRDefault="00FC7433">
      <w:pPr>
        <w:jc w:val="center"/>
      </w:pPr>
    </w:p>
    <w:p w:rsidR="00000000" w:rsidRDefault="00FC7433"/>
    <w:p w:rsidR="00000000" w:rsidRDefault="00FC7433"/>
    <w:p w:rsidR="00000000" w:rsidRDefault="00FC7433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t>COMUNICATO STAMPA MIUR-FONDAZIONE ISMU</w:t>
      </w:r>
    </w:p>
    <w:p w:rsidR="00000000" w:rsidRDefault="00FC7433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Rapporto nazionale sugli alunni con cittadinanza non italiana</w:t>
      </w:r>
    </w:p>
    <w:p w:rsidR="00000000" w:rsidRDefault="00FC7433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 difficoltà e successi</w:t>
      </w:r>
    </w:p>
    <w:p w:rsidR="00000000" w:rsidRDefault="00FC7433">
      <w:pPr>
        <w:widowControl w:val="0"/>
        <w:autoSpaceDE w:val="0"/>
        <w:jc w:val="center"/>
      </w:pPr>
      <w:r>
        <w:rPr>
          <w:b/>
          <w:bCs/>
          <w:sz w:val="32"/>
          <w:szCs w:val="32"/>
        </w:rPr>
        <w:t>Anno scolastico 2013/2014</w:t>
      </w:r>
    </w:p>
    <w:p w:rsidR="00000000" w:rsidRDefault="00FC7433">
      <w:pPr>
        <w:widowControl w:val="0"/>
        <w:autoSpaceDE w:val="0"/>
        <w:jc w:val="center"/>
      </w:pPr>
      <w:r>
        <w:t xml:space="preserve"> </w:t>
      </w:r>
      <w:r>
        <w:t>14 aprile 2015</w:t>
      </w:r>
    </w:p>
    <w:p w:rsidR="00000000" w:rsidRDefault="00FC7433">
      <w:pPr>
        <w:widowControl w:val="0"/>
        <w:autoSpaceDE w:val="0"/>
        <w:jc w:val="center"/>
        <w:rPr>
          <w:sz w:val="22"/>
          <w:szCs w:val="22"/>
        </w:rPr>
      </w:pPr>
      <w:r>
        <w:t>Sala Vismara, via Copernico 1, 20125 Milano</w:t>
      </w:r>
      <w:r>
        <w:rPr>
          <w:b/>
          <w:bCs/>
        </w:rPr>
        <w:t xml:space="preserve"> </w:t>
      </w:r>
    </w:p>
    <w:p w:rsidR="00000000" w:rsidRDefault="00FC7433">
      <w:pPr>
        <w:widowControl w:val="0"/>
        <w:autoSpaceDE w:val="0"/>
        <w:spacing w:after="200"/>
        <w:rPr>
          <w:sz w:val="22"/>
          <w:szCs w:val="22"/>
        </w:rPr>
      </w:pPr>
    </w:p>
    <w:p w:rsidR="00000000" w:rsidRDefault="00FC7433">
      <w:pPr>
        <w:pStyle w:val="NormaleWe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Ministero dell’Istruzione, del</w:t>
      </w:r>
      <w:r>
        <w:rPr>
          <w:rFonts w:ascii="Times New Roman" w:hAnsi="Times New Roman" w:cs="Times New Roman"/>
        </w:rPr>
        <w:t>l’Università e della Ricerca (Miur) e la Fondazione Ismu hanno presentato oggi i principali dati del Rapporto “Alunni con cittadinanza non italiana. Tra difficoltà e successi. Rapporto nazionale 2013/2014”, elaborati da Miur-Fondazione Ismu.</w:t>
      </w:r>
    </w:p>
    <w:p w:rsidR="00000000" w:rsidRDefault="00FC7433">
      <w:pPr>
        <w:pStyle w:val="NormaleWe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rapporto ra</w:t>
      </w:r>
      <w:r>
        <w:rPr>
          <w:rFonts w:ascii="Times New Roman" w:hAnsi="Times New Roman" w:cs="Times New Roman"/>
        </w:rPr>
        <w:t xml:space="preserve">ppresenta una fotografia dettagliata della popolazione scolastica con cittadinanza non italiana nell’anno scolastico 2013/2014.  </w:t>
      </w:r>
    </w:p>
    <w:p w:rsidR="00000000" w:rsidRDefault="00FC7433">
      <w:pPr>
        <w:pStyle w:val="NormaleWeb"/>
        <w:spacing w:before="0" w:after="0"/>
        <w:jc w:val="both"/>
        <w:rPr>
          <w:rFonts w:ascii="Times New Roman" w:hAnsi="Times New Roman" w:cs="Times New Roman"/>
        </w:rPr>
      </w:pP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Iscrizioni in aumento.</w:t>
      </w:r>
      <w:r>
        <w:rPr>
          <w:rFonts w:ascii="Book Antiqua" w:hAnsi="Book Antiqua" w:cs="Book Antiqua"/>
        </w:rPr>
        <w:t xml:space="preserve"> I dati confermano un costante e significativo incremento nelle iscrizioni degli alunni stranieri: dal </w:t>
      </w:r>
      <w:r>
        <w:rPr>
          <w:rFonts w:ascii="Book Antiqua" w:hAnsi="Book Antiqua" w:cs="Book Antiqua"/>
        </w:rPr>
        <w:t>2001/02 al 2013/14 essi sono quadruplicati. Si è passati infatti da 196.414 alunni nell'anno scolastico 2001/2002 (2,2% della popolazione complessiva) agli 802.844 dell'anno scolastico 2013/2014 (9% del totale). Gli iscritti stranieri fra il 2009/2010 e il</w:t>
      </w:r>
      <w:r>
        <w:rPr>
          <w:rFonts w:ascii="Book Antiqua" w:hAnsi="Book Antiqua" w:cs="Book Antiqua"/>
        </w:rPr>
        <w:t xml:space="preserve"> 2013/2014 sono cresciuti con ritmi del 19,2% a fronte di un decremento del -2,0% nelle presenze di alunni italiani. Gli alunni italiani sono diminuiti in tutti i livelli scolastici, mentre gli alunni stranieri sono cresciuti in tutti gli ordini e gradi, s</w:t>
      </w:r>
      <w:r>
        <w:rPr>
          <w:rFonts w:ascii="Book Antiqua" w:hAnsi="Book Antiqua" w:cs="Book Antiqua"/>
        </w:rPr>
        <w:t>oprattutto nelle scuole dell’infanzia e nelle scuole secondarie di secondo grado. Negli ultimi 5 anni si è assistito a un aumento delle presenze di stranieri nelle scuole non statali (+16% nel 2013/14 rispetto al 2009/2010). Per quanto riguarda gli italian</w:t>
      </w:r>
      <w:r>
        <w:rPr>
          <w:rFonts w:ascii="Book Antiqua" w:hAnsi="Book Antiqua" w:cs="Book Antiqua"/>
        </w:rPr>
        <w:t xml:space="preserve">i, nello stesso periodo, il declino numerico che li caratterizza è più accentuato nelle scuole non statali (-7,5% in 5 anni) rispetto a quelle statali (-1,1%).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I rumeni i più numerosi.</w:t>
      </w:r>
      <w:r>
        <w:rPr>
          <w:rFonts w:ascii="Book Antiqua" w:hAnsi="Book Antiqua" w:cs="Book Antiqua"/>
        </w:rPr>
        <w:t xml:space="preserve"> Nella graduatoria delle presenze, i romeni (154.621), gli albanesi (10</w:t>
      </w:r>
      <w:r>
        <w:rPr>
          <w:rFonts w:ascii="Book Antiqua" w:hAnsi="Book Antiqua" w:cs="Book Antiqua"/>
        </w:rPr>
        <w:t>7.847), i marocchini (101.176).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Prevale la componente maschile. </w:t>
      </w:r>
      <w:r>
        <w:rPr>
          <w:rFonts w:ascii="Book Antiqua" w:hAnsi="Book Antiqua" w:cs="Book Antiqua"/>
        </w:rPr>
        <w:t>Le femmine sono meno numerose dei maschi e corrispondono al 48% del totale (385.365), una percentuale di poco inferiore a quella osservata tra gli italiani (48,3%). La componente femminile pre</w:t>
      </w:r>
      <w:r>
        <w:rPr>
          <w:rFonts w:ascii="Book Antiqua" w:hAnsi="Book Antiqua" w:cs="Book Antiqua"/>
        </w:rPr>
        <w:t xml:space="preserve">vale solo nelle scuole secondarie di secondo grado. 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La regione con più alunni stranieri è la Lombardia.</w:t>
      </w:r>
      <w:r>
        <w:rPr>
          <w:rFonts w:ascii="Book Antiqua" w:hAnsi="Book Antiqua" w:cs="Book Antiqua"/>
        </w:rPr>
        <w:t xml:space="preserve"> La Lombardia si conferma come la prima regione per maggior numero di alunni stranieri (197.202), ma anche per il numero più alto di alunni in generale</w:t>
      </w:r>
      <w:r>
        <w:rPr>
          <w:rFonts w:ascii="Book Antiqua" w:hAnsi="Book Antiqua" w:cs="Book Antiqua"/>
        </w:rPr>
        <w:t xml:space="preserve"> (1.409.671), seguita da Emilia Romagna (93.434), Veneto (92.924), Lazio (77.071), e Piemonte (75.276).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I nati in Italia sono la maggioranza.</w:t>
      </w:r>
      <w:r>
        <w:rPr>
          <w:rFonts w:ascii="Book Antiqua" w:hAnsi="Book Antiqua" w:cs="Book Antiqua"/>
        </w:rPr>
        <w:t xml:space="preserve"> Un dato particolarmente significativo da segnalare è che i nati nel nostro paese costituiscono ormai la maggioran</w:t>
      </w:r>
      <w:r>
        <w:rPr>
          <w:rFonts w:ascii="Book Antiqua" w:hAnsi="Book Antiqua" w:cs="Book Antiqua"/>
        </w:rPr>
        <w:t xml:space="preserve">za di questi alunni. Infatti, nell'a.s. considerato costituiscono il 51,7% (415.283) degli alunni stranieri. Tra il 2007/8 e il </w:t>
      </w:r>
      <w:r>
        <w:rPr>
          <w:rFonts w:ascii="Book Antiqua" w:hAnsi="Book Antiqua" w:cs="Book Antiqua"/>
        </w:rPr>
        <w:lastRenderedPageBreak/>
        <w:t>2013/14 si evidenzia una crescita esponenziale di nati in Italia nelle scuole secondarie, in cui questi alunni si sono quasi tri</w:t>
      </w:r>
      <w:r>
        <w:rPr>
          <w:rFonts w:ascii="Book Antiqua" w:hAnsi="Book Antiqua" w:cs="Book Antiqua"/>
        </w:rPr>
        <w:t>plicati (scuole di primo grado) o più che triplicati (secondarie di secondo grado). Un approfondimento specifico sulla distribuzione territoriale evidenzia che il primato lo detiene il Nord Ovest, che accoglie nell'anno scolastico 2013/14 167.182 nati in I</w:t>
      </w:r>
      <w:r>
        <w:rPr>
          <w:rFonts w:ascii="Book Antiqua" w:hAnsi="Book Antiqua" w:cs="Book Antiqua"/>
        </w:rPr>
        <w:t xml:space="preserve">talia (40,2%), seguito dal Nord Est (123.142, 29,6%), dal centro (93.094 pari al 22,4%), e dal Sud e dalle Isole (31.865, 7,8%). La Lombardia è la regione con il maggior numero di alunni nati in Italia (oltre 110mila unità).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Neo-entrati tornano ad aumenta</w:t>
      </w:r>
      <w:r>
        <w:rPr>
          <w:rFonts w:ascii="Book Antiqua" w:hAnsi="Book Antiqua" w:cs="Book Antiqua"/>
          <w:b/>
          <w:bCs/>
        </w:rPr>
        <w:t>re.</w:t>
      </w:r>
      <w:r>
        <w:rPr>
          <w:rFonts w:ascii="Book Antiqua" w:hAnsi="Book Antiqua" w:cs="Book Antiqua"/>
        </w:rPr>
        <w:t xml:space="preserve"> Dall'a.s. 2007/08 al 2013/14 gli alunni stranieri entrati per la prima volta nel sistema scolastico italiano si sono ridotti da 46.154 a 30.825. Tuttavia tra il 2012/13 e il 2013/14 questo gruppo è tornato a crescere (+7.989 soggetti). Un aumento che s</w:t>
      </w:r>
      <w:r>
        <w:rPr>
          <w:rFonts w:ascii="Book Antiqua" w:hAnsi="Book Antiqua" w:cs="Book Antiqua"/>
        </w:rPr>
        <w:t xml:space="preserve">i spiega in parte con l'incremento significativo dei ricongiungimenti familiari e dei minori stranieri non accompagnati (10.536 nel 2014).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Alunni stranieri con disabilità.</w:t>
      </w:r>
      <w:r>
        <w:rPr>
          <w:rFonts w:ascii="Book Antiqua" w:hAnsi="Book Antiqua" w:cs="Book Antiqua"/>
        </w:rPr>
        <w:t xml:space="preserve"> Nel 2007/08 erano 11.760, nell'a.s. 2013/14 sono 26.626. Un aumento notevolissimo c</w:t>
      </w:r>
      <w:r>
        <w:rPr>
          <w:rFonts w:ascii="Book Antiqua" w:hAnsi="Book Antiqua" w:cs="Book Antiqua"/>
        </w:rPr>
        <w:t xml:space="preserve">he si spiega con il prolungamento dell'obbligo scolastico, e con la disponibilità di questi alunni a proseguire gli studi  dopo il biennio obbligatorio.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Alunni rom, sinti e camminanti.</w:t>
      </w:r>
      <w:r>
        <w:rPr>
          <w:rFonts w:ascii="Book Antiqua" w:hAnsi="Book Antiqua" w:cs="Book Antiqua"/>
        </w:rPr>
        <w:t xml:space="preserve"> Sono diminuiti del -5,6% dal 2007/08 al 2013/14. Una riduzione che è a</w:t>
      </w:r>
      <w:r>
        <w:rPr>
          <w:rFonts w:ascii="Book Antiqua" w:hAnsi="Book Antiqua" w:cs="Book Antiqua"/>
        </w:rPr>
        <w:t xml:space="preserve">ncora più sensibile nelle scuole d'infanzia e primaria.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Ritardo scolastico e ripetenze.</w:t>
      </w:r>
      <w:r>
        <w:rPr>
          <w:rFonts w:ascii="Book Antiqua" w:hAnsi="Book Antiqua" w:cs="Book Antiqua"/>
        </w:rPr>
        <w:t xml:space="preserve"> Nella misura in cui crescono i nati in Italia, si constata anche un miglioramento nei percorsi scolastici, con una diminuzione dei ritardi scolastici e delle ripetenze</w:t>
      </w:r>
      <w:r>
        <w:rPr>
          <w:rFonts w:ascii="Book Antiqua" w:hAnsi="Book Antiqua" w:cs="Book Antiqua"/>
        </w:rPr>
        <w:t xml:space="preserve">, cioè diminuiscono in parte le difficoltà che, peraltro, rimangono elevate. Nell'a.s. 2013/14 gli alunni con cittadinanza non italiana in ritardo rappresentano il 14,7% nella primaria (contro 1,9% degli italiani), il 41,5% nella secondaria di primo grado </w:t>
      </w:r>
      <w:r>
        <w:rPr>
          <w:rFonts w:ascii="Book Antiqua" w:hAnsi="Book Antiqua" w:cs="Book Antiqua"/>
        </w:rPr>
        <w:t xml:space="preserve">(contro il 7,4% degli italiani), e il 65,1% nella secondaria di secondo grado (contro il 23,3% degli italiani). I tassi di ripetenza degli alunni stranieri nell'a.s. 2013/14 confermano tuttavia il divario tra italiani e stranieri, in particolare nei primi </w:t>
      </w:r>
      <w:r>
        <w:rPr>
          <w:rFonts w:ascii="Book Antiqua" w:hAnsi="Book Antiqua" w:cs="Book Antiqua"/>
        </w:rPr>
        <w:t xml:space="preserve">anni di corso.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bCs/>
        </w:rPr>
        <w:t xml:space="preserve">Preferiscono gli istituti tecnici ai professionali. </w:t>
      </w:r>
      <w:r>
        <w:rPr>
          <w:rFonts w:ascii="Book Antiqua" w:hAnsi="Book Antiqua" w:cs="Book Antiqua"/>
        </w:rPr>
        <w:t>Per la prima volta dagli inizi degli anni Duemila, nell'anno 2013/14 gli istituti tecnici rappresentano l'indirizzo maggiormente scelto dagli alunni stranieri (38,5%). Gli istituti profess</w:t>
      </w:r>
      <w:r>
        <w:rPr>
          <w:rFonts w:ascii="Book Antiqua" w:hAnsi="Book Antiqua" w:cs="Book Antiqua"/>
        </w:rPr>
        <w:t>ionali perdono quindi il primato degli anni precedenti, passando al secondo posto (37,9%), seguiti dai licei (23,5%). Questo maggior spostamento verso le scelte liceali risulta prevalentemente influenzato dalle scelte degli alunni nati in Italia, che si or</w:t>
      </w:r>
      <w:r>
        <w:rPr>
          <w:rFonts w:ascii="Book Antiqua" w:hAnsi="Book Antiqua" w:cs="Book Antiqua"/>
        </w:rPr>
        <w:t xml:space="preserve">ientano maggiormente verso istituti tecnici (41,1%) e licei (29,6%).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</w:rPr>
        <w:t>Formazione professionale</w:t>
      </w:r>
      <w:r>
        <w:rPr>
          <w:rFonts w:ascii="Book Antiqua" w:hAnsi="Book Antiqua" w:cs="Book Antiqua"/>
        </w:rPr>
        <w:t xml:space="preserve">. Oltre ai dati Miur, in questo rapporto si è fatto ricorso anche a dati forniti da altri enti e istituzioni, proprio per rimanere fedeli all’opzione di fondo di </w:t>
      </w:r>
      <w:r>
        <w:rPr>
          <w:rFonts w:ascii="Book Antiqua" w:hAnsi="Book Antiqua" w:cs="Book Antiqua"/>
        </w:rPr>
        <w:t>considerare il sistema formativo in un’ottica policentrica. I dati Isfol mostrano che gli alunni stranieri rappresentano il 15,5% del totale degli iscritti ai primi tre anni del sistema IeFP (istruzione e formazione professionale) e il 15,2% al quarto anno</w:t>
      </w:r>
      <w:r>
        <w:rPr>
          <w:rFonts w:ascii="Book Antiqua" w:hAnsi="Book Antiqua" w:cs="Book Antiqua"/>
        </w:rPr>
        <w:t xml:space="preserve">.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Università.</w:t>
      </w:r>
      <w:r>
        <w:rPr>
          <w:rFonts w:ascii="Book Antiqua" w:hAnsi="Book Antiqua" w:cs="Book Antiqua"/>
        </w:rPr>
        <w:t xml:space="preserve"> Nell'anno scolastico 2013/14, i dati sugli immatricolati all'università (fonte: Anagrafe nazionale dello Studente) mostrano che quasi la metà dei maschi stranieri è in possesso di una maturità tecnica (49,7%) e il 17% di una maturità profess</w:t>
      </w:r>
      <w:r>
        <w:rPr>
          <w:rFonts w:ascii="Book Antiqua" w:hAnsi="Book Antiqua" w:cs="Book Antiqua"/>
        </w:rPr>
        <w:t>ionale; mentre la percentuale dei maschi italiani con maturità professionale che prosegue gli studi risulta di gran lunga inferiore (3,8%).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Immigrati adulti e opportunità formative. L’ultimo rapporto Indire disponibile (2012) segnala che sul totale dei fre</w:t>
      </w:r>
      <w:r>
        <w:rPr>
          <w:rFonts w:ascii="Book Antiqua" w:hAnsi="Book Antiqua" w:cs="Book Antiqua"/>
        </w:rPr>
        <w:t>quentanti le scuole pubbliche per adulti (CTP, oggi CPIA) gli stranieri sono il 43,9%: negli ultimi 6 a.s. sono cresciuti significativamente, a fronte di una diminuzione dei frequentati italiani.</w:t>
      </w:r>
    </w:p>
    <w:p w:rsidR="00000000" w:rsidRDefault="00FC7433">
      <w:pPr>
        <w:pStyle w:val="Corpodeltesto1"/>
        <w:suppressAutoHyphens w:val="0"/>
        <w:spacing w:after="0"/>
        <w:jc w:val="both"/>
        <w:rPr>
          <w:rFonts w:ascii="Book Antiqua" w:hAnsi="Book Antiqua" w:cs="Book Antiqua"/>
          <w:b/>
          <w:color w:val="000000"/>
        </w:rPr>
      </w:pPr>
      <w:r>
        <w:rPr>
          <w:rFonts w:ascii="Book Antiqua" w:hAnsi="Book Antiqua" w:cs="Book Antiqua"/>
          <w:b/>
          <w:bCs/>
        </w:rPr>
        <w:lastRenderedPageBreak/>
        <w:t>Il 15,8% dei Neet è straniero</w:t>
      </w:r>
      <w:r>
        <w:rPr>
          <w:rFonts w:ascii="Book Antiqua" w:hAnsi="Book Antiqua" w:cs="Book Antiqua"/>
        </w:rPr>
        <w:t>. Secondo i dati Istat, nel 201</w:t>
      </w:r>
      <w:r>
        <w:rPr>
          <w:rFonts w:ascii="Book Antiqua" w:hAnsi="Book Antiqua" w:cs="Book Antiqua"/>
        </w:rPr>
        <w:t xml:space="preserve">3 i giovani con cittadinanza non italiana rappresentano il 15,8% del totale dei Neet (Non in Education, Employment or Training) in Italia, con una incidenza maggiore rispetto agli italiani sulla popolazione della stessa età. Una </w:t>
      </w:r>
      <w:r>
        <w:rPr>
          <w:rFonts w:ascii="Book Antiqua" w:hAnsi="Book Antiqua" w:cs="Book Antiqua"/>
          <w:color w:val="000000"/>
        </w:rPr>
        <w:t>differenza importante è que</w:t>
      </w:r>
      <w:r>
        <w:rPr>
          <w:rFonts w:ascii="Book Antiqua" w:hAnsi="Book Antiqua" w:cs="Book Antiqua"/>
          <w:color w:val="000000"/>
        </w:rPr>
        <w:t>lla di genere: i Neet italiani sono prevalentemente maschi (il 50,3%), mentre i Neet non comunitari sono per il 67,3% giovani donne. Soprattutto per alcune cittadinanze però, questo dato si spiega come indisponibilità a studiare o lavorare per ragioni fami</w:t>
      </w:r>
      <w:r>
        <w:rPr>
          <w:rFonts w:ascii="Book Antiqua" w:hAnsi="Book Antiqua" w:cs="Book Antiqua"/>
          <w:color w:val="000000"/>
        </w:rPr>
        <w:t>liari.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b/>
          <w:color w:val="000000"/>
        </w:rPr>
        <w:t>Gli apprendimenti in Italiano e Matematica (prove Invalsi)</w:t>
      </w:r>
      <w:r>
        <w:rPr>
          <w:rFonts w:ascii="Book Antiqua" w:hAnsi="Book Antiqua" w:cs="Book Antiqua"/>
          <w:color w:val="000000"/>
        </w:rPr>
        <w:t>. I risultati delle prove nazionali Invalsi a.s. 2013/14 confermano che i punteggi medi degli studenti nativi sono superiori alla media nazionale in tutte le classi campione (II e V primaria,</w:t>
      </w:r>
      <w:r>
        <w:rPr>
          <w:rFonts w:ascii="Book Antiqua" w:hAnsi="Book Antiqua" w:cs="Book Antiqua"/>
          <w:color w:val="000000"/>
        </w:rPr>
        <w:t xml:space="preserve"> III secondaria di I grado, II secondaria di II grado), mentre quelli relativi agli stranieri sono inferiori alla media, anche se i punteggi sono superiori fra le seconde generazioni rispetto alle prime. Il divario di punteggio medio tra studenti nativi e </w:t>
      </w:r>
      <w:r>
        <w:rPr>
          <w:rFonts w:ascii="Book Antiqua" w:hAnsi="Book Antiqua" w:cs="Book Antiqua"/>
          <w:color w:val="000000"/>
        </w:rPr>
        <w:t xml:space="preserve">studenti di origine straniera è minore nella prova di Matematica rispetto a quella di italiano. La rilevazione del 2013/14 rispetto a quelle dell’a.s. precedente, evidenzia che gli studenti nativi non hanno modificato la loro performance in nessun livello </w:t>
      </w:r>
      <w:r>
        <w:rPr>
          <w:rFonts w:ascii="Book Antiqua" w:hAnsi="Book Antiqua" w:cs="Book Antiqua"/>
          <w:color w:val="000000"/>
        </w:rPr>
        <w:t xml:space="preserve">scolastico, mentre gli alunni immigrati di prima generazione hanno avuto un significativo miglioramento in II elementare e in III media e un lieve peggioramento nella II secondaria di II grado. Anche i loro compagni di seconda generazione hanno migliorato </w:t>
      </w:r>
      <w:r>
        <w:rPr>
          <w:rFonts w:ascii="Book Antiqua" w:hAnsi="Book Antiqua" w:cs="Book Antiqua"/>
          <w:color w:val="000000"/>
        </w:rPr>
        <w:t xml:space="preserve">i loro esiti in terza media, mentre si riscontra un peggioramento (anche se talvolta lieve) nelle altre classi. </w:t>
      </w:r>
    </w:p>
    <w:p w:rsidR="00000000" w:rsidRDefault="00FC7433">
      <w:pPr>
        <w:pStyle w:val="Corpodeltesto1"/>
        <w:suppressAutoHyphens w:val="0"/>
        <w:spacing w:after="0"/>
        <w:jc w:val="both"/>
        <w:rPr>
          <w:rFonts w:ascii="Book Antiqua" w:hAnsi="Book Antiqua" w:cs="Book Antiqua"/>
          <w:color w:val="800000"/>
        </w:rPr>
      </w:pPr>
      <w:r>
        <w:rPr>
          <w:rFonts w:ascii="Book Antiqua" w:hAnsi="Book Antiqua" w:cs="Book Antiqua"/>
          <w:b/>
          <w:color w:val="000000"/>
        </w:rPr>
        <w:t>Il confronto fra Italia e Europa</w:t>
      </w:r>
      <w:r>
        <w:rPr>
          <w:rFonts w:ascii="Book Antiqua" w:hAnsi="Book Antiqua" w:cs="Book Antiqua"/>
          <w:color w:val="000000"/>
        </w:rPr>
        <w:t xml:space="preserve">. Dall’analisi dei risultati dell’indagine PISA OCSE 2012 sui quindicenni, per l’area di matematica emerge che </w:t>
      </w:r>
      <w:r>
        <w:rPr>
          <w:rFonts w:ascii="Book Antiqua" w:hAnsi="Book Antiqua" w:cs="Book Antiqua"/>
          <w:color w:val="000000"/>
        </w:rPr>
        <w:t xml:space="preserve">l’Italia si colloca fra i paesi </w:t>
      </w:r>
      <w:r>
        <w:rPr>
          <w:rFonts w:ascii="Book Antiqua" w:hAnsi="Book Antiqua" w:cs="Book Antiqua"/>
          <w:i/>
          <w:color w:val="000000"/>
        </w:rPr>
        <w:t>low performers</w:t>
      </w:r>
      <w:r>
        <w:rPr>
          <w:rFonts w:ascii="Book Antiqua" w:hAnsi="Book Antiqua" w:cs="Book Antiqua"/>
          <w:color w:val="000000"/>
        </w:rPr>
        <w:t>, ovvero Paesi dell’area europea al di sotto della media OCSE (con punteggi inferiori a 490), insieme a Norvegia, Portogallo, Spagna, Repubblica Slovacca, Svezia, Ungheria, Grecia. È anche inserita nel gruppo d</w:t>
      </w:r>
      <w:r>
        <w:rPr>
          <w:rFonts w:ascii="Book Antiqua" w:hAnsi="Book Antiqua" w:cs="Book Antiqua"/>
          <w:color w:val="000000"/>
        </w:rPr>
        <w:t>i Stati che hanno ottenuto mediamente i peggiori risultati sia come performance in Matematica, sia come divario fra studenti autoctoni e migranti: i sistemi scolastici di Italia, Spagna, Grecia, Norvegia, Svezia appaiono meno efficaci come risultati ottenu</w:t>
      </w:r>
      <w:r>
        <w:rPr>
          <w:rFonts w:ascii="Book Antiqua" w:hAnsi="Book Antiqua" w:cs="Book Antiqua"/>
          <w:color w:val="000000"/>
        </w:rPr>
        <w:t xml:space="preserve">ti dagli alunni e come modello di integrazione.  </w:t>
      </w:r>
    </w:p>
    <w:p w:rsidR="00000000" w:rsidRDefault="00FC7433">
      <w:pPr>
        <w:pStyle w:val="NormalWeb"/>
        <w:spacing w:before="0" w:after="0"/>
        <w:jc w:val="both"/>
        <w:rPr>
          <w:rFonts w:ascii="Book Antiqua" w:hAnsi="Book Antiqua" w:cs="Book Antiqua"/>
          <w:color w:val="800000"/>
        </w:rPr>
      </w:pPr>
    </w:p>
    <w:p w:rsidR="00000000" w:rsidRDefault="00FC7433">
      <w:pPr>
        <w:pStyle w:val="NormaleWeb"/>
        <w:spacing w:before="0" w:after="0"/>
        <w:jc w:val="both"/>
        <w:rPr>
          <w:color w:val="800000"/>
        </w:rPr>
      </w:pPr>
    </w:p>
    <w:p w:rsidR="00000000" w:rsidRDefault="00FC7433">
      <w:pPr>
        <w:pStyle w:val="NormaleWeb"/>
        <w:spacing w:before="0" w:after="0"/>
        <w:jc w:val="both"/>
        <w:rPr>
          <w:rFonts w:ascii="Times New Roman" w:hAnsi="Times New Roman" w:cs="Times New Roman"/>
          <w:color w:val="800000"/>
        </w:rPr>
      </w:pPr>
    </w:p>
    <w:p w:rsidR="00000000" w:rsidRDefault="00FC7433">
      <w:pPr>
        <w:pStyle w:val="NormaleWeb"/>
        <w:spacing w:before="0" w:after="0"/>
        <w:jc w:val="both"/>
        <w:rPr>
          <w:rFonts w:ascii="Times New Roman" w:hAnsi="Times New Roman" w:cs="Times New Roman"/>
          <w:color w:val="800000"/>
        </w:rPr>
      </w:pPr>
    </w:p>
    <w:p w:rsidR="00000000" w:rsidRDefault="00FC7433">
      <w:pPr>
        <w:pStyle w:val="NormaleWeb"/>
        <w:spacing w:before="0" w:after="0"/>
        <w:jc w:val="both"/>
      </w:pPr>
    </w:p>
    <w:sectPr w:rsidR="00000000">
      <w:footerReference w:type="default" r:id="rId8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7433">
      <w:r>
        <w:separator/>
      </w:r>
    </w:p>
  </w:endnote>
  <w:endnote w:type="continuationSeparator" w:id="0">
    <w:p w:rsidR="00000000" w:rsidRDefault="00FC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7433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8.25pt;height:13.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FC743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7433">
      <w:r>
        <w:separator/>
      </w:r>
    </w:p>
  </w:footnote>
  <w:footnote w:type="continuationSeparator" w:id="0">
    <w:p w:rsidR="00000000" w:rsidRDefault="00FC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433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08B4FFF3-4411-41B8-9DD7-00D3AC59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WW-Carpredefinitoparagrafo1">
    <w:name w:val="WW-Car.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WW-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WW-Stilepredefinito">
    <w:name w:val="WW-Stile predefinito"/>
    <w:pPr>
      <w:widowControl w:val="0"/>
      <w:suppressAutoHyphens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Corpodeltesto1">
    <w:name w:val="Corpo del testo1"/>
    <w:basedOn w:val="WW-Stilepredefinito"/>
    <w:pPr>
      <w:widowControl/>
      <w:spacing w:after="140"/>
    </w:pPr>
    <w:rPr>
      <w:rFonts w:cs="Times New Roman"/>
      <w:lang w:eastAsia="ar-SA" w:bidi="ar-SA"/>
    </w:rPr>
  </w:style>
  <w:style w:type="paragraph" w:customStyle="1" w:styleId="NormalWeb">
    <w:name w:val="Normal (Web)"/>
    <w:basedOn w:val="Normale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ufficiostampa</dc:creator>
  <cp:keywords/>
  <cp:lastModifiedBy>ELENA BOSETTI</cp:lastModifiedBy>
  <cp:revision>2</cp:revision>
  <cp:lastPrinted>2013-03-13T11:26:00Z</cp:lastPrinted>
  <dcterms:created xsi:type="dcterms:W3CDTF">2015-04-14T16:32:00Z</dcterms:created>
  <dcterms:modified xsi:type="dcterms:W3CDTF">2015-04-14T16:32:00Z</dcterms:modified>
</cp:coreProperties>
</file>